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39B">
      <w:pPr>
        <w:pStyle w:val="printredaction-line"/>
        <w:divId w:val="1118600470"/>
        <w:rPr>
          <w:rFonts w:ascii="Georgia" w:hAnsi="Georgia"/>
        </w:rPr>
      </w:pPr>
      <w:r>
        <w:rPr>
          <w:rFonts w:ascii="Georgia" w:hAnsi="Georgia"/>
        </w:rPr>
        <w:t>Редакция от 1 янв 2019</w:t>
      </w:r>
    </w:p>
    <w:p w:rsidR="00000000" w:rsidRDefault="009C239B">
      <w:pPr>
        <w:divId w:val="8005347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Минфина России от 27.02.2018 № 32н</w:t>
      </w:r>
    </w:p>
    <w:p w:rsidR="00000000" w:rsidRDefault="009C239B">
      <w:pPr>
        <w:pStyle w:val="2"/>
        <w:divId w:val="11186004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стандарта бухгалтерского учета для организаций государственного сектора "Доходы"</w:t>
      </w:r>
    </w:p>
    <w:p w:rsidR="00000000" w:rsidRDefault="009C239B" w:rsidP="008F4A8E">
      <w:pPr>
        <w:spacing w:after="223"/>
        <w:ind w:left="-142" w:firstLine="142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1714433/XA00MCU2O0/" w:history="1">
        <w:r>
          <w:rPr>
            <w:rStyle w:val="a4"/>
            <w:rFonts w:ascii="Georgia" w:hAnsi="Georgia"/>
          </w:rPr>
          <w:t>статьями 165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901714433/XA00M6S2MB/" w:history="1">
        <w:r>
          <w:rPr>
            <w:rStyle w:val="a4"/>
            <w:rFonts w:ascii="Georgia" w:hAnsi="Georgia"/>
          </w:rPr>
          <w:t>264.1 Бюджетного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</w:t>
      </w:r>
      <w:r>
        <w:rPr>
          <w:rFonts w:ascii="Georgia" w:hAnsi="Georgia"/>
        </w:rPr>
        <w:t>ссийской Федерации, 1998, № 31, ст.3823; 2007, № 18, ст.2117; № 45, ст.5424; 2010, № 19, ст.2291; 2013, № 19, ст.2331; № 52, ст.6983; 2014, № 43, ст.5795; 2016, № 27, ст.4278; 2017, № 14, ст.2007; № 30, ст.4458; № 31, ст.4811; № 47, ст.6841),</w:t>
      </w:r>
      <w:r>
        <w:rPr>
          <w:rFonts w:ascii="Georgia" w:hAnsi="Georgia"/>
        </w:rPr>
        <w:t xml:space="preserve"> </w:t>
      </w:r>
      <w:hyperlink r:id="rId7" w:anchor="/document/99/902316088/XA00MC22NR/" w:history="1">
        <w:r>
          <w:rPr>
            <w:rStyle w:val="a4"/>
            <w:rFonts w:ascii="Georgia" w:hAnsi="Georgia"/>
          </w:rPr>
          <w:t>статьями 21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902316088/XA00MCE2N2/" w:history="1">
        <w:r>
          <w:rPr>
            <w:rStyle w:val="a4"/>
            <w:rFonts w:ascii="Georgia" w:hAnsi="Georgia"/>
          </w:rPr>
          <w:t>23 Федерального закона от 6 декабря 2011 г. № 402-ФЗ "О бухгалтерском учете"</w:t>
        </w:r>
      </w:hyperlink>
      <w:r>
        <w:rPr>
          <w:rFonts w:ascii="Georgia" w:hAnsi="Georgia"/>
        </w:rPr>
        <w:t xml:space="preserve"> (Собрание за</w:t>
      </w:r>
      <w:r>
        <w:rPr>
          <w:rFonts w:ascii="Georgia" w:hAnsi="Georgia"/>
        </w:rPr>
        <w:t>конодательства Российской Федерации, 2011, № 50, ст.7344; 2013, № 30, ст.4084; № 44, ст.563; 2017, № 30, ст.4440),</w:t>
      </w:r>
      <w:r>
        <w:rPr>
          <w:rFonts w:ascii="Georgia" w:hAnsi="Georgia"/>
        </w:rPr>
        <w:t xml:space="preserve"> </w:t>
      </w:r>
      <w:hyperlink r:id="rId9" w:anchor="/document/99/901904247/XA00M7M2MH/" w:history="1">
        <w:r>
          <w:rPr>
            <w:rStyle w:val="a4"/>
            <w:rFonts w:ascii="Georgia" w:hAnsi="Georgia"/>
          </w:rPr>
          <w:t>подпунктом 5.2.21.1 пункта 5.2 Положения о Министерстве фи</w:t>
        </w:r>
        <w:r>
          <w:rPr>
            <w:rStyle w:val="a4"/>
            <w:rFonts w:ascii="Georgia" w:hAnsi="Georgia"/>
          </w:rPr>
          <w:t>нансов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0" w:anchor="/document/99/901904247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2004 г. № 329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31, ст.32</w:t>
      </w:r>
      <w:r>
        <w:rPr>
          <w:rFonts w:ascii="Georgia" w:hAnsi="Georgia"/>
        </w:rPr>
        <w:t>58; 2012, № 44, ст.6027), в целях регулирования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</w:t>
      </w:r>
      <w:r>
        <w:rPr>
          <w:rFonts w:ascii="Georgia" w:hAnsi="Georgia"/>
        </w:rPr>
        <w:t>енных 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11" w:anchor="/document/99/542619320/XA00LVA2M9/" w:tgtFrame="_self" w:history="1">
        <w:r>
          <w:rPr>
            <w:rStyle w:val="a4"/>
            <w:rFonts w:ascii="Georgia" w:hAnsi="Georgia"/>
          </w:rPr>
          <w:t>федеральный стандарт бухгалтерского учета для организаций государственного сектора "Доходы"</w:t>
        </w:r>
      </w:hyperlink>
      <w:r>
        <w:rPr>
          <w:rFonts w:ascii="Georgia" w:hAnsi="Georgia"/>
        </w:rPr>
        <w:t xml:space="preserve"> (далее - Стандарт)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2. Установить, что настоящий </w:t>
      </w:r>
      <w:hyperlink r:id="rId12" w:anchor="/document/99/542619320/XA00LVA2M9/" w:tgtFrame="_self" w:history="1">
        <w:r>
          <w:rPr>
            <w:rStyle w:val="a4"/>
            <w:rFonts w:ascii="Georgia" w:hAnsi="Georgia"/>
          </w:rPr>
          <w:t>Стандарт</w:t>
        </w:r>
      </w:hyperlink>
      <w:r>
        <w:rPr>
          <w:rFonts w:ascii="Georgia" w:hAnsi="Georgia"/>
        </w:rPr>
        <w:t xml:space="preserve"> применяется при ведении бюджетного учета, бухгалтерского учета государственных (муниципальных) бюджетных и автономных учреждений с 1 января 2019 года, составлении бюджетной отчетности, бухгалтерс</w:t>
      </w:r>
      <w:r>
        <w:rPr>
          <w:rFonts w:ascii="Georgia" w:hAnsi="Georgia"/>
        </w:rPr>
        <w:t>кой (финансовой) отчетности государственных (муниципальных) бюджетных и автономных учреждений начиная с отчетности 2019 года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3. Департаменту бюджетной методологии и финансовой отчетности государственного сектора Министерства финансов Российской Федерации </w:t>
      </w:r>
      <w:r>
        <w:rPr>
          <w:rFonts w:ascii="Georgia" w:hAnsi="Georgia"/>
        </w:rPr>
        <w:t xml:space="preserve">(Романову С.В.) обеспечить методологическое сопровождение применения настоящего </w:t>
      </w:r>
      <w:hyperlink r:id="rId13" w:anchor="/document/99/542619320/XA00LVA2M9/" w:tgtFrame="_self" w:history="1">
        <w:r>
          <w:rPr>
            <w:rStyle w:val="a4"/>
            <w:rFonts w:ascii="Georgia" w:hAnsi="Georgia"/>
          </w:rPr>
          <w:t>Стандарта</w:t>
        </w:r>
      </w:hyperlink>
      <w:r>
        <w:rPr>
          <w:rFonts w:ascii="Georgia" w:hAnsi="Georgia"/>
        </w:rPr>
        <w:t>.</w:t>
      </w:r>
    </w:p>
    <w:p w:rsidR="00000000" w:rsidRDefault="009C239B" w:rsidP="008F4A8E">
      <w:pPr>
        <w:spacing w:after="223"/>
        <w:jc w:val="right"/>
        <w:divId w:val="102035514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А.Г.Силуанов</w:t>
      </w:r>
      <w:r>
        <w:rPr>
          <w:rFonts w:ascii="Georgia" w:hAnsi="Georgia"/>
        </w:rPr>
        <w:t xml:space="preserve"> </w:t>
      </w:r>
    </w:p>
    <w:p w:rsidR="00000000" w:rsidRDefault="009C239B" w:rsidP="008F4A8E">
      <w:pPr>
        <w:spacing w:after="223"/>
        <w:jc w:val="right"/>
        <w:divId w:val="163736936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</w:t>
      </w:r>
      <w:r>
        <w:rPr>
          <w:rFonts w:ascii="Helvetica" w:hAnsi="Helvetica" w:cs="Helvetica"/>
          <w:sz w:val="20"/>
          <w:szCs w:val="20"/>
        </w:rPr>
        <w:t>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C239B" w:rsidP="008F4A8E">
      <w:pPr>
        <w:spacing w:after="223"/>
        <w:jc w:val="right"/>
        <w:divId w:val="163736936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 мая 2018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9C239B" w:rsidP="008F4A8E">
      <w:pPr>
        <w:spacing w:after="223"/>
        <w:jc w:val="right"/>
        <w:divId w:val="163736936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51122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C239B">
      <w:pPr>
        <w:pStyle w:val="align-right"/>
        <w:divId w:val="1006860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финансов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27 февраля 2018 года № 32н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C239B">
      <w:pPr>
        <w:divId w:val="2400215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Федеральный стандарт бухгалтерского учета для организаций государственного сектора "Доходы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:rsidR="00000000" w:rsidRDefault="009C239B">
      <w:pPr>
        <w:divId w:val="673142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1. Федеральный стандарт бухгалтерского учета для организаций государственного сектора "Доходы" разработан в целях обеспечения единства системы требований к ведению бухгалтерского учета государственными (муниципальными) бюджетными и автономными учрежден</w:t>
      </w:r>
      <w:r>
        <w:rPr>
          <w:rFonts w:ascii="Georgia" w:hAnsi="Georgia"/>
        </w:rPr>
        <w:t>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</w:t>
      </w:r>
      <w:r>
        <w:rPr>
          <w:rFonts w:ascii="Georgia" w:hAnsi="Georgia"/>
        </w:rPr>
        <w:t>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2. Положения настоящего Стандарта применяются одновременно с примен</w:t>
      </w:r>
      <w:r>
        <w:rPr>
          <w:rFonts w:ascii="Georgia" w:hAnsi="Georgia"/>
        </w:rPr>
        <w:t>ением положений</w:t>
      </w:r>
      <w:r>
        <w:rPr>
          <w:rFonts w:ascii="Georgia" w:hAnsi="Georgia"/>
        </w:rPr>
        <w:t xml:space="preserve"> </w:t>
      </w:r>
      <w:hyperlink r:id="rId14" w:anchor="/document/99/420388973/XA00M9O2NH/" w:history="1">
        <w:r>
          <w:rPr>
            <w:rStyle w:val="a4"/>
            <w:rFonts w:ascii="Georgia" w:hAnsi="Georgia"/>
          </w:rPr>
          <w:t>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</w:t>
        </w:r>
        <w:r>
          <w:rPr>
            <w:rStyle w:val="a4"/>
            <w:rFonts w:ascii="Georgia" w:hAnsi="Georgia"/>
          </w:rPr>
          <w:t>ударственного сектора"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gosfinansy.ru/system/content/image/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gosfinansy.ru/system/content/image/25/1/574142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9C239B">
      <w:pPr>
        <w:divId w:val="500436022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gosfinansy.ru/system/content/image/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gosfinansy.ru/system/content/image/25/1/574142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239B">
      <w:pPr>
        <w:divId w:val="3482209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Утвержден </w:t>
      </w:r>
    </w:p>
    <w:p w:rsidR="00000000" w:rsidRDefault="009C239B">
      <w:pPr>
        <w:divId w:val="500436022"/>
        <w:rPr>
          <w:rStyle w:val="a4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begin"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 xml:space="preserve"> 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>HYPERLINK "https://vip.gosfinansy.ru/" \l "/document/99/420388973/"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 xml:space="preserve"> 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separate"/>
      </w:r>
    </w:p>
    <w:p w:rsidR="00000000" w:rsidRDefault="009C239B">
      <w:pPr>
        <w:divId w:val="1659916544"/>
        <w:rPr>
          <w:sz w:val="20"/>
          <w:szCs w:val="20"/>
        </w:rPr>
      </w:pPr>
      <w:r>
        <w:rPr>
          <w:rFonts w:ascii="Helvetica" w:eastAsia="Times New Roman" w:hAnsi="Helvetica" w:cs="Helvetica"/>
          <w:color w:val="0000FF"/>
          <w:sz w:val="20"/>
          <w:szCs w:val="20"/>
          <w:u w:val="single"/>
        </w:rPr>
        <w:t>приказом Министерства финансов Российской Федерации от 31 декабря 2016 г. № 256н "Об утверждении федерального стандарта</w:t>
      </w:r>
    </w:p>
    <w:p w:rsidR="00000000" w:rsidRDefault="009C239B">
      <w:pPr>
        <w:divId w:val="500436022"/>
        <w:rPr>
          <w:rFonts w:ascii="Helvetica" w:eastAsia="Times New Roman" w:hAnsi="Helvetica" w:cs="Helvetica"/>
          <w:sz w:val="17"/>
          <w:szCs w:val="17"/>
        </w:rPr>
      </w:pPr>
      <w:r>
        <w:rPr>
          <w:rStyle w:val="a4"/>
          <w:rFonts w:ascii="Helvetica" w:eastAsia="Times New Roman" w:hAnsi="Helvetica" w:cs="Helvetica"/>
          <w:sz w:val="17"/>
          <w:szCs w:val="17"/>
        </w:rPr>
        <w:t>бухгалтерского учета для организаций государственного сектора "</w:t>
      </w:r>
      <w:r>
        <w:rPr>
          <w:rStyle w:val="a4"/>
          <w:rFonts w:ascii="Helvetica" w:eastAsia="Times New Roman" w:hAnsi="Helvetica" w:cs="Helvetica"/>
          <w:sz w:val="17"/>
          <w:szCs w:val="17"/>
        </w:rPr>
        <w:t>Концептуальные основы бухгалтерского учета и отчетности организаций государственного сектора"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end"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27 апреля 2017 г., регистрационный номер 46517). 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3. Настоящий Стандарт применяется при учете доходов</w:t>
      </w:r>
      <w:r>
        <w:rPr>
          <w:rFonts w:ascii="Georgia" w:hAnsi="Georgia"/>
        </w:rPr>
        <w:t xml:space="preserve">, раскрытии в бухгалтерской (финансовой) отчетности информации о доходах, если иное не установлено другими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</w:t>
      </w:r>
      <w:r>
        <w:rPr>
          <w:rFonts w:ascii="Georgia" w:hAnsi="Georgia"/>
        </w:rPr>
        <w:t>установленной в соответствии с бюджетным законодательством Российской Федерации, и</w:t>
      </w:r>
      <w:r>
        <w:rPr>
          <w:rFonts w:ascii="Georgia" w:hAnsi="Georgia"/>
        </w:rPr>
        <w:t xml:space="preserve"> </w:t>
      </w:r>
      <w:hyperlink r:id="rId16" w:anchor="/document/99/902271090/XA00LVA2M9/" w:history="1">
        <w:r>
          <w:rPr>
            <w:rStyle w:val="a4"/>
            <w:rFonts w:ascii="Georgia" w:hAnsi="Georgia"/>
          </w:rPr>
          <w:t>Инструкцией о порядке составления, представления годовой, квартальной бухгалтерской отчетн</w:t>
        </w:r>
        <w:r>
          <w:rPr>
            <w:rStyle w:val="a4"/>
            <w:rFonts w:ascii="Georgia" w:hAnsi="Georgia"/>
          </w:rPr>
          <w:t>ости государственных (муниципальных) бюджетных и автономных учреждений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gosfinansy.ru/system/content/image/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gosfinansy.ru/system/content/image/25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нормативные правовые акты, регулирующие ведение бухгалтерского учета и составление бухгалтерской (финансовой) отчетности)</w:t>
      </w:r>
      <w:r>
        <w:rPr>
          <w:rFonts w:ascii="Georgia" w:hAnsi="Georgia"/>
        </w:rPr>
        <w:t>.</w:t>
      </w:r>
    </w:p>
    <w:p w:rsidR="00000000" w:rsidRDefault="009C239B">
      <w:pPr>
        <w:divId w:val="393159906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gosfinansy.ru/system/content/image/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gosfinansy.ru/system/content/image/25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239B">
      <w:pPr>
        <w:divId w:val="1980259955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Утверждена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8" w:anchor="/document/99/902271090/" w:history="1">
        <w:r>
          <w:rPr>
            <w:rStyle w:val="a4"/>
            <w:rFonts w:ascii="Helvetica" w:eastAsia="Times New Roman" w:hAnsi="Helvetica" w:cs="Helvetica"/>
            <w:sz w:val="20"/>
            <w:szCs w:val="20"/>
          </w:rPr>
          <w:t>приказом Министерства финансов Ро</w:t>
        </w:r>
        <w:r>
          <w:rPr>
            <w:rStyle w:val="a4"/>
            <w:rFonts w:ascii="Helvetica" w:eastAsia="Times New Roman" w:hAnsi="Helvetica" w:cs="Helvetica"/>
            <w:sz w:val="20"/>
            <w:szCs w:val="20"/>
          </w:rPr>
          <w:t>ссийской Федерации от 25 марта 2011 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</w:r>
      </w:hyperlink>
    </w:p>
    <w:p w:rsidR="00000000" w:rsidRDefault="009C239B">
      <w:pPr>
        <w:divId w:val="39315990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в Министерстве юс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тиции Российской Федерации 22 апреля 2011 г., регистрационный номер 20558),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90237727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финансов Российской Федерации от 26 октября 2012 г. № 139н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в Министерстве юстиции Российской Федерации 19 декабря 2012 г., регистрационный номер 26195),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42024449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29 декабря 2014 г. № 172н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ийской Федерации 4 февраля 2015 г., регистрационный номер 35854),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42026347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20 марта 2015 г. № 43н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 апреля 2015 г., регистрационн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ый номер 36668),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32583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17 декабря 2015 г. № 199н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28 января 2016 г., регистрационный номер 40889),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38387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16 ноября 2016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15 декабря 2016 г., регистрационный номер 44741)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4" w:anchor="/document/99/55571164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14 ноября 2017 г. № 189н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декабря 2017 г., регистрационный номер 49217).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lastRenderedPageBreak/>
        <w:t>4. Настоящий Стандарт не применяется к доходам, возникающим в результате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а) получения (предоставления) во временное вл</w:t>
      </w:r>
      <w:r>
        <w:rPr>
          <w:rFonts w:ascii="Georgia" w:hAnsi="Georgia"/>
        </w:rPr>
        <w:t>адение и пользование или во временное пользование материальных ценностей по договору аренды (имущественного найма) либо по договору безвозмездного пользования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б) получения доходов от инвестиций в форме дивидендов, объявленных (выплаченных) объектом инвест</w:t>
      </w:r>
      <w:r>
        <w:rPr>
          <w:rFonts w:ascii="Georgia" w:hAnsi="Georgia"/>
        </w:rPr>
        <w:t>ирования, учитываемых по методу долевого участия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в) продажи запасов, за исключением товаров, готовой продукции и биологической продукции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г) продажи основных средств и нематериальных активов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д) изменения справедливой стоимости финансовых активов и финансовых обязательств или их выбытия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е) первоначального признания биологических активов и биологической продукции и изменения справедливой стоимости биологических активов и биологической продукции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ж) изменения справедливой стоимости других нефинансовых активов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з) изменений курсов иностранных валют по отношению к рублю</w:t>
      </w:r>
      <w:r>
        <w:rPr>
          <w:rFonts w:ascii="Georgia" w:hAnsi="Georgia"/>
        </w:rPr>
        <w:t>.</w:t>
      </w:r>
    </w:p>
    <w:p w:rsidR="00000000" w:rsidRDefault="009C239B">
      <w:pPr>
        <w:divId w:val="19150495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Термины и их определени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5. Термины, определения которым даны в других нормативных правовых актах, регулирующих ведение бухга</w:t>
      </w:r>
      <w:r>
        <w:rPr>
          <w:rFonts w:ascii="Georgia" w:hAnsi="Georgia"/>
        </w:rPr>
        <w:t>лтерского учета и составление бухгалтерской (финансовой) отчетности, используются в настоящем Стандарте в том же значении, в каком они используются в этих нормативных правовых актах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6. В настоящем Стандарте используются следующие термины в указанных значе</w:t>
      </w:r>
      <w:r>
        <w:rPr>
          <w:rFonts w:ascii="Georgia" w:hAnsi="Georgia"/>
        </w:rPr>
        <w:t>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Учетная группа доходов - совокупность доходов в зависимости от их экономического содержания со сходными принципами признания в бухгалтерском учете и оценки, информация о которых раскрывается в бухгалтерской (финансовой) отчетности обособленно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</w:t>
      </w:r>
      <w:r>
        <w:rPr>
          <w:rFonts w:ascii="Georgia" w:hAnsi="Georgia"/>
        </w:rPr>
        <w:t>льными учетными группами доходов являются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а) доходы от необменных операций,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налогов, сборов, в том числе государственных пошлин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таможенных платежей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страховых взносов на обязательное социальное страхование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доходы от </w:t>
      </w:r>
      <w:r>
        <w:rPr>
          <w:rFonts w:ascii="Georgia" w:hAnsi="Georgia"/>
        </w:rPr>
        <w:t>безвозмездных поступлений от бюджетов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штрафов, пеней, неустоек, возмещения ущерба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прочие доходы от необменных операций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lastRenderedPageBreak/>
        <w:t>б) доходы от обменных операций, в том числе: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собственности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при передаче актив</w:t>
      </w:r>
      <w:r>
        <w:rPr>
          <w:rFonts w:ascii="Georgia" w:hAnsi="Georgia"/>
        </w:rPr>
        <w:t>ов - условия, устанавливаемые передающей стороной при передаче активов, согласно которым будущие экономические выгоды или полезный потенциал, заложенные в передаваемых активах, должны быть использованы получателем активов по целевому назначению, включая до</w:t>
      </w:r>
      <w:r>
        <w:rPr>
          <w:rFonts w:ascii="Georgia" w:hAnsi="Georgia"/>
        </w:rPr>
        <w:t>стижение установленных результатов, при невыполнении которых передаваемые активы должны быть возвращены полностью или частично передающей стороне</w:t>
      </w:r>
      <w:r>
        <w:rPr>
          <w:rFonts w:ascii="Georgia" w:hAnsi="Georgia"/>
        </w:rPr>
        <w:t>.</w:t>
      </w:r>
    </w:p>
    <w:p w:rsidR="00000000" w:rsidRDefault="009C239B">
      <w:pPr>
        <w:divId w:val="280698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Признание и оценка доходо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7. Доход для целей бухгалтерского учета признается в результате совершения фа</w:t>
      </w:r>
      <w:r>
        <w:rPr>
          <w:rFonts w:ascii="Georgia" w:hAnsi="Georgia"/>
        </w:rPr>
        <w:t xml:space="preserve">ктов хозяйственной жизни (обменных операций или необменных операций) (далее в целях настоящего Стандарта - операции (события) или наступления событий, в результате которых ожидается получение экономических выгод или полезного потенциала, связанных с этими </w:t>
      </w:r>
      <w:r>
        <w:rPr>
          <w:rFonts w:ascii="Georgia" w:hAnsi="Georgia"/>
        </w:rPr>
        <w:t>операциями (событиями), при условии, что их сумма (денежная величина) может быть надежно определена. Признание отдельных учетных групп доходов осуществляется с учетом положений настоящего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Доходы, полученные (начисленные) в отчетном периоде, но </w:t>
      </w:r>
      <w:r>
        <w:rPr>
          <w:rFonts w:ascii="Georgia" w:hAnsi="Georgia"/>
        </w:rPr>
        <w:t>относящиеся к будущим отчетным периодам, признаются для целей бухгалтерского учета, формирования и публичного раскрытия показателей бухгалтерской (финансовой) отчетности доходами будущих периодов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8. Критерии признания доходов, установленные настоящим Стан</w:t>
      </w:r>
      <w:r>
        <w:rPr>
          <w:rFonts w:ascii="Georgia" w:hAnsi="Georgia"/>
        </w:rPr>
        <w:t>дартом, применяются отдельно к каждому факту хозяйственной жизни (операции, события) в результате которого возникает доход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когда без рассмотрения всей совокупности взаимосвязанных операций (событий) в целом не представляется возможным отнести до</w:t>
      </w:r>
      <w:r>
        <w:rPr>
          <w:rFonts w:ascii="Georgia" w:hAnsi="Georgia"/>
        </w:rPr>
        <w:t>ход, возникающий по отдельной операции (событию), к отдельной учетной группе доходов (квалифицировать операцию (событие) по ее экономическому содержанию), критерии признания доходов применяются одновременно к двум или более взаимосвязанным операциям (событ</w:t>
      </w:r>
      <w:r>
        <w:rPr>
          <w:rFonts w:ascii="Georgia" w:hAnsi="Georgia"/>
        </w:rPr>
        <w:t>иям)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возникновения доходов в рамках операций (событий), состоящих из отдельно выделяемых по экономическому содержанию операций (событий), доходы по таким отдельно выделяемым операциям (событиям) для целей бухгалтерского учета классифицируются (о</w:t>
      </w:r>
      <w:r>
        <w:rPr>
          <w:rFonts w:ascii="Georgia" w:hAnsi="Georgia"/>
        </w:rPr>
        <w:t>тносятся к отдельной учетной группе доходов) исходя из их экономического содержания и критериев признания доходов, предусмотренных настоящим Стандартом для соответствующей учетной группы доходов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9. При реализации продукции (работ, услуг) в обмен на иную о</w:t>
      </w:r>
      <w:r>
        <w:rPr>
          <w:rFonts w:ascii="Georgia" w:hAnsi="Georgia"/>
        </w:rPr>
        <w:t>тличную продукцию (работы, услуги) обмен признается операцией, формирующей доход субъекта учета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10. В случае если продукция (работы, услуги) обменивается в соответствии с законодательством Российской Федерации на продукцию (работы, услуги), аналогичную по</w:t>
      </w:r>
      <w:r>
        <w:rPr>
          <w:rFonts w:ascii="Georgia" w:hAnsi="Georgia"/>
        </w:rPr>
        <w:t xml:space="preserve"> характеру и стоимости без осуществления денежных расчетов, обмен не считается операцией, формирующей доход субъекта учета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lastRenderedPageBreak/>
        <w:t>11. Сумма признанного дохода, по которому выявлена дебиторская задолженность, не исполненная должником (плательщиком) в срок и не со</w:t>
      </w:r>
      <w:r>
        <w:rPr>
          <w:rFonts w:ascii="Georgia" w:hAnsi="Georgia"/>
        </w:rPr>
        <w:t>ответствующая критериям признания актива (далее - сомнительная задолженность), корректируется с формированием резерва по сомнительной задолженности. При этом учет сомнительной задолженности осуществляется субъектом учета на забалансовых счетах утвержденног</w:t>
      </w:r>
      <w:r>
        <w:rPr>
          <w:rFonts w:ascii="Georgia" w:hAnsi="Georgia"/>
        </w:rPr>
        <w:t>о им Рабочего плана счетов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Прекращение признания (выбытия) с балансового (забалансового)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документов, подт</w:t>
      </w:r>
      <w:r>
        <w:rPr>
          <w:rFonts w:ascii="Georgia" w:hAnsi="Georgia"/>
        </w:rPr>
        <w:t>верждающих неопределенность относительно получения экономических выгод или полезного потенциала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</w:t>
      </w:r>
      <w:r>
        <w:rPr>
          <w:rFonts w:ascii="Georgia" w:hAnsi="Georgia"/>
        </w:rPr>
        <w:t>лансового) учета субъекта учета с одновременным уменьшением доходов текущего отчетного периода (уменьшением резерва по сомнительным долгам)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Прекращение признания (выбытия) с балансового (забалансового) учета безнадежной к взысканию задолженности по доход</w:t>
      </w:r>
      <w:r>
        <w:rPr>
          <w:rFonts w:ascii="Georgia" w:hAnsi="Georgia"/>
        </w:rPr>
        <w:t xml:space="preserve">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</w:t>
      </w:r>
      <w:r>
        <w:rPr>
          <w:rFonts w:ascii="Georgia" w:hAnsi="Georgia"/>
        </w:rPr>
        <w:t>получения экономических выгод или полезного потенциала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12. Доход оценивается субъектом учета в полной сумме ожидаемого поступления экономических выгод и (или) полезного потенциала, заключенного в активе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определения величины дохода осуществляются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а) корректировка на сумму предоставляемых скидок или льгот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б) корректировка с учетом ставки дисконтирования, если поступление денежных средств или их эквивалентов предполагается в течение срока, превышающего 12 месяцев с даты признания дохода. В качеств</w:t>
      </w:r>
      <w:r>
        <w:rPr>
          <w:rFonts w:ascii="Georgia" w:hAnsi="Georgia"/>
        </w:rPr>
        <w:t>е ставки дисконтирования используется ключевая ставка Центрального банка Российской Федерации, действующая на отчетную дату</w:t>
      </w:r>
      <w:r>
        <w:rPr>
          <w:rFonts w:ascii="Georgia" w:hAnsi="Georgia"/>
        </w:rPr>
        <w:t>.</w:t>
      </w:r>
    </w:p>
    <w:p w:rsidR="00000000" w:rsidRDefault="009C239B">
      <w:pPr>
        <w:divId w:val="6186123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Признание (принятие к бухгалтерскому учету) доходов от необменных операци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C239B">
      <w:pPr>
        <w:divId w:val="134180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Доходы от налогов, сборов, в том числе государственн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ых пошлин, таможенных платеже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13. К доходам от налогов, сборов, в том числе государственных пошлин, таможенных платежей относятся доходы от установленных законодательством Российской Федерации о налогах и сборах, правом Евразийского экономического союза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обязательных, индивидуально безвозмездных платежей, взимаемых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</w:t>
      </w:r>
      <w:r>
        <w:rPr>
          <w:rFonts w:ascii="Georgia" w:hAnsi="Georgia"/>
        </w:rPr>
        <w:t>ятельности государства и (или) муниципальных образований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обязательных взносов (платежей), взимаемых с организаций и физических лиц, уплата </w:t>
      </w:r>
      <w:r>
        <w:rPr>
          <w:rFonts w:ascii="Georgia" w:hAnsi="Georgia"/>
        </w:rPr>
        <w:lastRenderedPageBreak/>
        <w:t xml:space="preserve">которых является одним из условий совершения в отношении плательщиков сборов (платежей) государственными органами, </w:t>
      </w:r>
      <w:r>
        <w:rPr>
          <w:rFonts w:ascii="Georgia" w:hAnsi="Georgia"/>
        </w:rPr>
        <w:t>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(лицензий), уплата которых обусловлена осуществлением в пределах территории,</w:t>
      </w:r>
      <w:r>
        <w:rPr>
          <w:rFonts w:ascii="Georgia" w:hAnsi="Georgia"/>
        </w:rPr>
        <w:t xml:space="preserve"> на которой введен сбор, отдельных видов предпринимательской деятельности (сборов)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обязательных платежей, взимаемых за совершение таможенными органами таможенных операций, связанных с выпуском товаров, таможенным сопровождением транспортных средств, а та</w:t>
      </w:r>
      <w:r>
        <w:rPr>
          <w:rFonts w:ascii="Georgia" w:hAnsi="Georgia"/>
        </w:rPr>
        <w:t>кже за совершение иных действий (таможенных платежей)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14. Объектом бухгалтерского учета доходов от налогов, сборов, в том числе государственных пошлин, таможенных платежей являются доходы от отдельных видов налогов, сборов, в том числе государственных пош</w:t>
      </w:r>
      <w:r>
        <w:rPr>
          <w:rFonts w:ascii="Georgia" w:hAnsi="Georgia"/>
        </w:rPr>
        <w:t>лин, таможенных платежей с учетом классификации доходов бюджетов согласно бюджетному законодательству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15. Признание в бухгалтерском учете доходов от налогов, сборов, в том числе государственных пошлин, таможенных платежей осуществляет</w:t>
      </w:r>
      <w:r>
        <w:rPr>
          <w:rFonts w:ascii="Georgia" w:hAnsi="Georgia"/>
        </w:rPr>
        <w:t>ся субъектами учета, осуществляющими в соответствии с бюджетным законодательством Российской Федерации полномочия администратора доходов бюджетов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16. Доходы от налогов, сборов, в том числе государственных пошлин, таможенных платежей признаются в бухгалтер</w:t>
      </w:r>
      <w:r>
        <w:rPr>
          <w:rFonts w:ascii="Georgia" w:hAnsi="Georgia"/>
        </w:rPr>
        <w:t>ском учете по факту получения субъектом учета информации о возникновении в соответствии с законодательством Российской Федерации о налогах и сборах обязанности по уплате налогов, сборов, в том числе государственных пошлин, страховых взносов (объекта налого</w:t>
      </w:r>
      <w:r>
        <w:rPr>
          <w:rFonts w:ascii="Georgia" w:hAnsi="Georgia"/>
        </w:rPr>
        <w:t>обложения и обложения сборами, страховыми взносами), налоговых платежей налоговыми агентами (далее - налоговое событие), или по факту получения информации о возникновении в соответствии с правом Евразийского экономического союза обязанности уплаты таможенн</w:t>
      </w:r>
      <w:r>
        <w:rPr>
          <w:rFonts w:ascii="Georgia" w:hAnsi="Georgia"/>
        </w:rPr>
        <w:t>ых платежей (объекта обложения таможенными пошлинами и сборами) (далее - таможенное событие)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17. Доходы от налогов, сборов, в том числе государственных пошлин, таможенных платежей, распределяемые в соответствии с бюджетным законодательством Российской Фед</w:t>
      </w:r>
      <w:r>
        <w:rPr>
          <w:rFonts w:ascii="Georgia" w:hAnsi="Georgia"/>
        </w:rPr>
        <w:t>ерации, правом Евразийского экономического союза между бюджетами бюджетной системы Российской Федерации, признаются в бухгалтерском учете по факту получения субъектом учета от уполномоченных органов Федерального казначейства документов о проведенных операц</w:t>
      </w:r>
      <w:r>
        <w:rPr>
          <w:rFonts w:ascii="Georgia" w:hAnsi="Georgia"/>
        </w:rPr>
        <w:t>иях по учету (перечислению) распределенных поступлений в бюджеты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Поступления денежных средств по доходам от налогов, сборов, в том числе государственных пошлин, таможенных платежей, до предоставления информации о наступлении налогового или таможенного со</w:t>
      </w:r>
      <w:r>
        <w:rPr>
          <w:rFonts w:ascii="Georgia" w:hAnsi="Georgia"/>
        </w:rPr>
        <w:t>бытия не признаются в бухгалтерском учете доходами и отражаются в составе расчетов по доходам (расчетов по авансовым поступлениям по доходам)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18. Принятие к бухгалтерскому учету доходов от налогов, сборов, в том числе государственных пошлин, таможенных пл</w:t>
      </w:r>
      <w:r>
        <w:rPr>
          <w:rFonts w:ascii="Georgia" w:hAnsi="Georgia"/>
        </w:rPr>
        <w:t>атежей, отражается в оценке, определенной на основе данных, полученных из налоговых (таможенных) деклараций (расчетов) или иных документов в соответствии с законодательством Российской Федерации о налогах и сборах, правом Евразийского экономического союза</w:t>
      </w:r>
      <w:r>
        <w:rPr>
          <w:rFonts w:ascii="Georgia" w:hAnsi="Georgia"/>
        </w:rPr>
        <w:t>.</w:t>
      </w:r>
    </w:p>
    <w:p w:rsidR="00000000" w:rsidRDefault="009C239B">
      <w:pPr>
        <w:divId w:val="2547553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Доходы от страховых взносов на обязательное социальное страховани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19. К доходам от страховых взносов на обязательное социальное страхование относятся доходы от установленных законодательством Российской Федерации о налогах и сборах страховых взносов на обязательное социальное страхование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lastRenderedPageBreak/>
        <w:t>20. Объектом бухгалтерского учет</w:t>
      </w:r>
      <w:r>
        <w:rPr>
          <w:rFonts w:ascii="Georgia" w:hAnsi="Georgia"/>
        </w:rPr>
        <w:t>а доходов от страховых взносов на обязательное социальное страхование являются доходы от обязательных платежей на обязательное пенсионное страхование, обязательное социальное страхование на случай временной нетрудоспособности и в связи с материнством, на о</w:t>
      </w:r>
      <w:r>
        <w:rPr>
          <w:rFonts w:ascii="Georgia" w:hAnsi="Georgia"/>
        </w:rPr>
        <w:t>бязательное медицинское страхование, взимаемых с организаций и физических лиц в целях финансового обеспечения реализации прав застрахованных лиц на получение страхового обеспечения в соответствии с видом обязательного социального страхования, а также взнос</w:t>
      </w:r>
      <w:r>
        <w:rPr>
          <w:rFonts w:ascii="Georgia" w:hAnsi="Georgia"/>
        </w:rPr>
        <w:t>ы, взимаемые с организаций в целях дополнительного социального обеспечения отдельных категорий физических лиц, в соответствии с бюджетной классификацией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21. Признание в бухгалтерском учете доходов от страховых взносов на обязательное </w:t>
      </w:r>
      <w:r>
        <w:rPr>
          <w:rFonts w:ascii="Georgia" w:hAnsi="Georgia"/>
        </w:rPr>
        <w:t>социальное страхование осуществляется субъектами учета, осуществляющими в соответствии с бюджетным законодательством полномочия администратора доходов бюджетов государственных внебюджетных фондов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22. Доходы от страховых взносов на обя</w:t>
      </w:r>
      <w:r>
        <w:rPr>
          <w:rFonts w:ascii="Georgia" w:hAnsi="Georgia"/>
        </w:rPr>
        <w:t>зательное социальное страхование признаются в бухгалтерском учете по факту получения информации о налоговом событии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23. Поступления денежных средств по доходам от страховых взносов на обязательное социальное страхование до предоставления информации о наст</w:t>
      </w:r>
      <w:r>
        <w:rPr>
          <w:rFonts w:ascii="Georgia" w:hAnsi="Georgia"/>
        </w:rPr>
        <w:t>уплении налогового события не признаются для целей бухгалтерского учета доходами и отражаются в составе расчетов по доходам (расчетов по авансовым поступлениям по доходам)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24. Принятие к бухгалтерскому учету доходов от страховых взносов на обязательное со</w:t>
      </w:r>
      <w:r>
        <w:rPr>
          <w:rFonts w:ascii="Georgia" w:hAnsi="Georgia"/>
        </w:rPr>
        <w:t>циальное страхование отражается в оценке, определяемой на основе данных о начисленных в соответствии с законодательством Российской Федерации о налогах и сборах страховых взносах, полученных из расчетов по страховым взносам</w:t>
      </w:r>
      <w:r>
        <w:rPr>
          <w:rFonts w:ascii="Georgia" w:hAnsi="Georgia"/>
        </w:rPr>
        <w:t>.</w:t>
      </w:r>
    </w:p>
    <w:p w:rsidR="00000000" w:rsidRDefault="009C239B">
      <w:pPr>
        <w:divId w:val="1330675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Доходы от безвозмездных поступл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ений от бюджето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25. К доходам от безвозмездных поступлений от бюджетов относятся: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предоставления дотаций, субсидий, субвенций и иных межбюджетных трансфертов из других бюджетов бюджетной системы Российской Федерации, а также возврат неиспользо</w:t>
      </w:r>
      <w:r>
        <w:rPr>
          <w:rFonts w:ascii="Georgia" w:hAnsi="Georgia"/>
        </w:rPr>
        <w:t>ванных межбюджетных трансфертов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получения безвозмездных и безвозвратных трансфертов, предоставленных наднациональными организациями и правительствами иностранных государств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получения безвозмездных и безвозвратных трансфертов, предос</w:t>
      </w:r>
      <w:r>
        <w:rPr>
          <w:rFonts w:ascii="Georgia" w:hAnsi="Georgia"/>
        </w:rPr>
        <w:t>тавленных международными финансовыми организациями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26. Объектом бухгалтерского учета доходов от безвозмездных поступлений от бюджетов являются доходы по отдельным видам указанных поступлений исходя из экономического содержания необменных операций согласно</w:t>
      </w:r>
      <w:r>
        <w:rPr>
          <w:rFonts w:ascii="Georgia" w:hAnsi="Georgia"/>
        </w:rPr>
        <w:t xml:space="preserve"> бюджетной классификации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27. Признание в бухгалтерском учете доходов от безвозмездных поступлений от бюджетов осуществляется субъектами учета, осуществляющими в соответствии с бюджетным законодательством полномочия администратора дохо</w:t>
      </w:r>
      <w:r>
        <w:rPr>
          <w:rFonts w:ascii="Georgia" w:hAnsi="Georgia"/>
        </w:rPr>
        <w:t>дов бюджетов по поступлениям от бюджетов бюджетной системы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28. Доходы от межбюджетных трансфертов, предоставляемых без условий при передаче активов, признаются в бухгалтерском учете по факту возникновения права на их получение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час</w:t>
      </w:r>
      <w:r>
        <w:rPr>
          <w:rFonts w:ascii="Georgia" w:hAnsi="Georgia"/>
        </w:rPr>
        <w:t>ти, относящейся к текущему периоду - доходами текущего отчетного периода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части, относящейся к будущим периодам - доходами будущих периодов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от межбюджетных трансфертов, предоставляемых с условиями при передаче активов, признаются в бухгалтерско</w:t>
      </w:r>
      <w:r>
        <w:rPr>
          <w:rFonts w:ascii="Georgia" w:hAnsi="Georgia"/>
        </w:rPr>
        <w:t xml:space="preserve">м учете по факту возникновения права на их получение доходами будущих периодов.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</w:t>
      </w:r>
      <w:r>
        <w:rPr>
          <w:rFonts w:ascii="Georgia" w:hAnsi="Georgia"/>
        </w:rPr>
        <w:t>активов в части, относящейся к отчетному периоду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29. Поступления от наднациональных организаций и правительств иностранных государств и поступления от международных финансовых организаций (далее - иные безвозмездные поступления от бюджетов), полученные бе</w:t>
      </w:r>
      <w:r>
        <w:rPr>
          <w:rFonts w:ascii="Georgia" w:hAnsi="Georgia"/>
        </w:rPr>
        <w:t>з условий при передаче активов, признаются в бухгалтерском учете в качестве доходов текущего отчетного периода по факту возникновения права на их получение от передающей стороны в части, относящейся к текущему периоду, и в качестве доходов будущих периодов</w:t>
      </w:r>
      <w:r>
        <w:rPr>
          <w:rFonts w:ascii="Georgia" w:hAnsi="Georgia"/>
        </w:rPr>
        <w:t xml:space="preserve"> в части, относящейся к будущим периодам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30. Иные безвозмездные поступления от бюджетов, полученные с условиями при передаче активов, признаются в бухгалтерском учете в качестве доходов будущих периодов от безвозмездных поступлений от бюджетов по факту во</w:t>
      </w:r>
      <w:r>
        <w:rPr>
          <w:rFonts w:ascii="Georgia" w:hAnsi="Georgia"/>
        </w:rPr>
        <w:t>зникновения права на их получение от передающей стороны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31. Доходы будущих периодов от безвозмездных поступлений от бюджетов, полученные с условиями при передаче активов, признаются в бухгалтерском учете в составе доходов от безвозмездных поступлений от б</w:t>
      </w:r>
      <w:r>
        <w:rPr>
          <w:rFonts w:ascii="Georgia" w:hAnsi="Georgia"/>
        </w:rPr>
        <w:t>юджетов текущего отчетного периода по мере выполнения таких условий в части, относящейся к соответствующему отчетному периоду</w:t>
      </w:r>
      <w:r>
        <w:rPr>
          <w:rFonts w:ascii="Georgia" w:hAnsi="Georgia"/>
        </w:rPr>
        <w:t>.</w:t>
      </w:r>
    </w:p>
    <w:p w:rsidR="00000000" w:rsidRDefault="009C239B">
      <w:pPr>
        <w:divId w:val="12532466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Доходы от штрафов, пеней, неустоек, возмещения ущерб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32. К доходам от штрафов, пеней, неустоек, возмещения ущерба относятся экон</w:t>
      </w:r>
      <w:r>
        <w:rPr>
          <w:rFonts w:ascii="Georgia" w:hAnsi="Georgia"/>
        </w:rPr>
        <w:t>омические выгоды или полезный потенциал, полученные или ожидаемые к получению от административных платежей и штрафов, пеней, неустоек, возмещения ущерба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33. Объектом бухгалтерского учета доходов от ш</w:t>
      </w:r>
      <w:r>
        <w:rPr>
          <w:rFonts w:ascii="Georgia" w:hAnsi="Georgia"/>
        </w:rPr>
        <w:t>трафов, пеней, неустоек, возмещения ущерба являются отдельные виды доходов от принудительных изъятий, штрафов и иных санкций с учетом оснований их возникновения согласно бюджетной классификации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34. Доходы от штрафов, пеней, неустоек, </w:t>
      </w:r>
      <w:r>
        <w:rPr>
          <w:rFonts w:ascii="Georgia" w:hAnsi="Georgia"/>
        </w:rPr>
        <w:t>возмещения ущерба признаются в бухгалтерском учете на дату возникновения требования к плательщику штрафов, пеней, неустоек, возмещения ущерба, в частности при вступлении в силу вынесенного постановления (решения) по делу об административном правонарушении,</w:t>
      </w:r>
      <w:r>
        <w:rPr>
          <w:rFonts w:ascii="Georgia" w:hAnsi="Georgia"/>
        </w:rPr>
        <w:t xml:space="preserve"> определения о наложении судебного штрафа, 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35. Доходы от штрафов, пеней, неустоек, возмещения</w:t>
      </w:r>
      <w:r>
        <w:rPr>
          <w:rFonts w:ascii="Georgia" w:hAnsi="Georgia"/>
        </w:rPr>
        <w:t xml:space="preserve"> ущерба признаются в бухгалтерском учете в сумме, указанной в соответствующих документах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Суммы доходов от штрафов, пеней, неустоек, возмещения ущерба признаются в бухгалтерском учете, в соответствии с документами, подтверждающими право требования</w:t>
      </w:r>
      <w:r>
        <w:rPr>
          <w:rFonts w:ascii="Georgia" w:hAnsi="Georgia"/>
        </w:rPr>
        <w:t>.</w:t>
      </w:r>
    </w:p>
    <w:p w:rsidR="00000000" w:rsidRDefault="009C239B">
      <w:pPr>
        <w:divId w:val="4085809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Прочие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доходы от необменных операци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36. К прочим доходам от необменных операций относятся доходы от необменных операций, не перечисленные в </w:t>
      </w:r>
      <w:hyperlink r:id="rId25" w:anchor="/document/99/542619320/XA00MA22N7/" w:tgtFrame="_self" w:history="1">
        <w:r>
          <w:rPr>
            <w:rStyle w:val="a4"/>
            <w:rFonts w:ascii="Georgia" w:hAnsi="Georgia"/>
          </w:rPr>
          <w:t>пунктах 13</w:t>
        </w:r>
      </w:hyperlink>
      <w:r>
        <w:rPr>
          <w:rFonts w:ascii="Georgia" w:hAnsi="Georgia"/>
        </w:rPr>
        <w:t xml:space="preserve">, </w:t>
      </w:r>
      <w:hyperlink r:id="rId26" w:anchor="/document/99/542619320/XA00M902MS/" w:tgtFrame="_self" w:history="1">
        <w:r>
          <w:rPr>
            <w:rStyle w:val="a4"/>
            <w:rFonts w:ascii="Georgia" w:hAnsi="Georgia"/>
          </w:rPr>
          <w:t>19</w:t>
        </w:r>
      </w:hyperlink>
      <w:r>
        <w:rPr>
          <w:rFonts w:ascii="Georgia" w:hAnsi="Georgia"/>
        </w:rPr>
        <w:t xml:space="preserve">, </w:t>
      </w:r>
      <w:hyperlink r:id="rId27" w:anchor="/document/99/542619320/XA00M3U2MI/" w:tgtFrame="_self" w:history="1">
        <w:r>
          <w:rPr>
            <w:rStyle w:val="a4"/>
            <w:rFonts w:ascii="Georgia" w:hAnsi="Georgia"/>
          </w:rPr>
          <w:t>25</w:t>
        </w:r>
      </w:hyperlink>
      <w:r>
        <w:rPr>
          <w:rFonts w:ascii="Georgia" w:hAnsi="Georgia"/>
        </w:rPr>
        <w:t xml:space="preserve">, </w:t>
      </w:r>
      <w:hyperlink r:id="rId28" w:anchor="/document/99/542619320/XA00M3S2MH/" w:tgtFrame="_self" w:history="1">
        <w:r>
          <w:rPr>
            <w:rStyle w:val="a4"/>
            <w:rFonts w:ascii="Georgia" w:hAnsi="Georgia"/>
          </w:rPr>
          <w:t>32 настоящего Стандарта</w:t>
        </w:r>
      </w:hyperlink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37. 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(условий при передаче активов), ис</w:t>
      </w:r>
      <w:r>
        <w:rPr>
          <w:rFonts w:ascii="Georgia" w:hAnsi="Georgia"/>
        </w:rPr>
        <w:t>ходя из экономического содержания необменных операций согласно бюджетной классификации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38. Признание в бухгалтерском учете доходов от прочих доходов от необменных операций осуществляется субъектами учета, получающими от необменных опе</w:t>
      </w:r>
      <w:r>
        <w:rPr>
          <w:rFonts w:ascii="Georgia" w:hAnsi="Georgia"/>
        </w:rPr>
        <w:t>раций активы (экономические выгоды)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39. Безвозмездные поступления денежных средств (включая субсидии и гранты), полученные без условий при передаче активов, признаются в бухгалтерском учете в качестве прочих доходов от необменных операций текущего отчетно</w:t>
      </w:r>
      <w:r>
        <w:rPr>
          <w:rFonts w:ascii="Georgia" w:hAnsi="Georgia"/>
        </w:rPr>
        <w:t>го периода по факту возникновения права на их получение от передающей стороны в части, относящейся к отчетному периоду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безвозмездном получении объектов имущества, за исключением денежных средств, переданных без условий при передаче активов, прочие до</w:t>
      </w:r>
      <w:r>
        <w:rPr>
          <w:rFonts w:ascii="Georgia" w:hAnsi="Georgia"/>
        </w:rPr>
        <w:t>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40. Доходы от безвозмездных поступлений денежных средств (включая субсидии и г</w:t>
      </w:r>
      <w:r>
        <w:rPr>
          <w:rFonts w:ascii="Georgia" w:hAnsi="Georgia"/>
        </w:rPr>
        <w:t>ранты) или доходы от безвозмездно полученных иных активов, предоставленных на условиях при передаче актива, признаются в бухгалтерском учете в момент возникновения права на их получение в составе доходов будущих периодов от безвозмездных поступлений. По ме</w:t>
      </w:r>
      <w:r>
        <w:rPr>
          <w:rFonts w:ascii="Georgia" w:hAnsi="Georgia"/>
        </w:rPr>
        <w:t>ре реализации условий при передаче активов в части, относящейся к отчетному периоду,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41. Призна</w:t>
      </w:r>
      <w:r>
        <w:rPr>
          <w:rFonts w:ascii="Georgia" w:hAnsi="Georgia"/>
        </w:rPr>
        <w:t>ние в бухгалтерском учете в составе иных доходов от необменных операций текущего периода финансового результата от выбытия обязательства в связи с прощением долга (обязательства, для исполнения которого не ожидается выбытие активов в связи с прекращением т</w:t>
      </w:r>
      <w:r>
        <w:rPr>
          <w:rFonts w:ascii="Georgia" w:hAnsi="Georgia"/>
        </w:rPr>
        <w:t>ребования кредитора, не являющегося учредителем (собственником) субъекта учета) осуществляется на дату прекращения признания обязательства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42. Признание в бухгалтерском учете иных доходов от необменных операций при безвозмездном получении активов (материа</w:t>
      </w:r>
      <w:r>
        <w:rPr>
          <w:rFonts w:ascii="Georgia" w:hAnsi="Georgia"/>
        </w:rPr>
        <w:t>льных ценностей) осуществляется по справедливой стоимости безвозмездно полученных активов (материальных ценностей) на дату их получения. При отражении доходов по таким необменным операциям используются методы определения справедливой стоимости безвозмездно</w:t>
      </w:r>
      <w:r>
        <w:rPr>
          <w:rFonts w:ascii="Georgia" w:hAnsi="Georgia"/>
        </w:rPr>
        <w:t xml:space="preserve"> полученных активов, предусмотренные нормативными правовыми актами, регулирующими ведение бухгалтерского учета и составление бухгалтерской (финансовой) отчетности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43. Признание в бухгалтерском учете иных доходов от необменных операций при получении работ и услуг, предоставляемые физическими или юридическими лицами субъекту учета посредством необменной операции, не осуществляется при условии, что информация о получен</w:t>
      </w:r>
      <w:r>
        <w:rPr>
          <w:rFonts w:ascii="Georgia" w:hAnsi="Georgia"/>
        </w:rPr>
        <w:t xml:space="preserve">ии таких работ и услуг на основании управленческой информации, </w:t>
      </w:r>
      <w:r>
        <w:rPr>
          <w:rFonts w:ascii="Georgia" w:hAnsi="Georgia"/>
        </w:rPr>
        <w:lastRenderedPageBreak/>
        <w:t>представляемой лицом (подразделением) субъекта учета, ответственным за формирование и своевременное представление указанных данных, раскрывается в бухгалтерской (финансовой) отчетности согласно</w:t>
      </w:r>
      <w:r>
        <w:rPr>
          <w:rFonts w:ascii="Georgia" w:hAnsi="Georgia"/>
        </w:rPr>
        <w:t xml:space="preserve"> настоящему Стандарту</w:t>
      </w:r>
      <w:r>
        <w:rPr>
          <w:rFonts w:ascii="Georgia" w:hAnsi="Georgia"/>
        </w:rPr>
        <w:t>.</w:t>
      </w:r>
    </w:p>
    <w:p w:rsidR="00000000" w:rsidRDefault="009C239B">
      <w:pPr>
        <w:divId w:val="11452447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Признание (принятие к бухгалтерскому учету) доходов от обменных операци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C239B">
      <w:pPr>
        <w:divId w:val="20558098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Доходы от собственност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44. К доходам от собственности относятся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а) доходы в виде платы за передачу в возмездное пользование государственного и муниципально</w:t>
      </w:r>
      <w:r>
        <w:rPr>
          <w:rFonts w:ascii="Georgia" w:hAnsi="Georgia"/>
        </w:rPr>
        <w:t>го имущества. Порядок признания и оценки доходов в части доходов, возникающих по договорам аренды (имущественного найма) или договоров безвозмездного пользования, регулируется</w:t>
      </w:r>
      <w:r>
        <w:rPr>
          <w:rFonts w:ascii="Georgia" w:hAnsi="Georgia"/>
        </w:rPr>
        <w:t xml:space="preserve"> </w:t>
      </w:r>
      <w:hyperlink r:id="rId29" w:anchor="/document/99/420389699/XA00M3A2MS/" w:history="1">
        <w:r>
          <w:rPr>
            <w:rStyle w:val="a4"/>
            <w:rFonts w:ascii="Georgia" w:hAnsi="Georgia"/>
          </w:rPr>
          <w:t>Федеральным стандартом бухгалтерского учета для организаций государственного сектора "Аренда"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gosfinansy.ru/system/content/image/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gosfinansy.ru/system/content/image/25/1/57632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9C239B">
      <w:pPr>
        <w:divId w:val="1586037217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gosfinansy.ru/system/content/image/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gosfinansy.ru/system/content/image/25/1/576323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239B">
      <w:pPr>
        <w:divId w:val="622540577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Утвержден </w:t>
      </w:r>
    </w:p>
    <w:p w:rsidR="00000000" w:rsidRDefault="009C239B">
      <w:pPr>
        <w:divId w:val="1586037217"/>
        <w:rPr>
          <w:rStyle w:val="a4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begin"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 xml:space="preserve"> 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>HYPERLINK "https://vip.gosfinansy.ru/" \l "/document/99/420389699/"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instrText xml:space="preserve"> </w:instrTex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separate"/>
      </w:r>
    </w:p>
    <w:p w:rsidR="00000000" w:rsidRDefault="009C239B">
      <w:pPr>
        <w:divId w:val="1817143829"/>
        <w:rPr>
          <w:sz w:val="20"/>
          <w:szCs w:val="20"/>
        </w:rPr>
      </w:pPr>
      <w:r>
        <w:rPr>
          <w:rFonts w:ascii="Helvetica" w:eastAsia="Times New Roman" w:hAnsi="Helvetica" w:cs="Helvetica"/>
          <w:color w:val="0000FF"/>
          <w:sz w:val="20"/>
          <w:szCs w:val="20"/>
          <w:u w:val="single"/>
        </w:rPr>
        <w:t>приказом Министерства финансов Р</w:t>
      </w:r>
      <w:r>
        <w:rPr>
          <w:rFonts w:ascii="Helvetica" w:eastAsia="Times New Roman" w:hAnsi="Helvetica" w:cs="Helvetica"/>
          <w:color w:val="0000FF"/>
          <w:sz w:val="20"/>
          <w:szCs w:val="20"/>
          <w:u w:val="single"/>
        </w:rPr>
        <w:t>оссийской Федерации от 31 декабря 2016 г. № 258н "Об утверждении федерального стандарта</w:t>
      </w:r>
    </w:p>
    <w:p w:rsidR="00000000" w:rsidRDefault="009C239B">
      <w:pPr>
        <w:divId w:val="1586037217"/>
        <w:rPr>
          <w:rFonts w:ascii="Helvetica" w:eastAsia="Times New Roman" w:hAnsi="Helvetica" w:cs="Helvetica"/>
          <w:sz w:val="17"/>
          <w:szCs w:val="17"/>
        </w:rPr>
      </w:pPr>
      <w:r>
        <w:rPr>
          <w:rStyle w:val="a4"/>
          <w:rFonts w:ascii="Helvetica" w:eastAsia="Times New Roman" w:hAnsi="Helvetica" w:cs="Helvetica"/>
          <w:sz w:val="17"/>
          <w:szCs w:val="17"/>
        </w:rPr>
        <w:t>бухгалтерского учета для организаций государственного сектора "Аренда"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fldChar w:fldCharType="end"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в Министерстве юстиции Российской Федерации 4 мая 2017 г., регистрационный номер 46606).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б) доходы в виде процентов по остаткам денежных средств на счетах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в) доходы от передачи государственного и муниципального имущества в доверительное у</w:t>
      </w:r>
      <w:r>
        <w:rPr>
          <w:rFonts w:ascii="Georgia" w:hAnsi="Georgia"/>
        </w:rPr>
        <w:t>правление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г) доходы от предоставления бюджетных кредитов, займов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д) доходы в виде части прибыли государственных и муниципальных унитарных предприятий, оставшейся после уплаты налогов и иных обязательных платежей, от иных форм участия в капитале предприят</w:t>
      </w:r>
      <w:r>
        <w:rPr>
          <w:rFonts w:ascii="Georgia" w:hAnsi="Georgia"/>
        </w:rPr>
        <w:t>ий, находящихся в государственной (муниципальной) собственности, а также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е</w:t>
      </w:r>
      <w:r>
        <w:rPr>
          <w:rFonts w:ascii="Georgia" w:hAnsi="Georgia"/>
        </w:rPr>
        <w:t>) иные предусмотренные законодательством Российской Федерации доходы от использования активов в виде государственного или муниципального имущества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45. Объектом бухгалтерского учета доходов от собственности являются отдельные виды доходов от собственности </w:t>
      </w:r>
      <w:r>
        <w:rPr>
          <w:rFonts w:ascii="Georgia" w:hAnsi="Georgia"/>
        </w:rPr>
        <w:t>исходя из экономического содержания обменных операций с учетом видов имущества, передаваемого в управление (пользование), согласно бюджетной классификации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46. Доходы от собственности, за исключением перечисленных в </w:t>
      </w:r>
      <w:hyperlink r:id="rId31" w:anchor="/document/99/542619320/XA00M3O2MF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32" w:anchor="/document/99/542619320/XA00M7O2N2/" w:tgtFrame="_self" w:history="1">
        <w:r>
          <w:rPr>
            <w:rStyle w:val="a4"/>
            <w:rFonts w:ascii="Georgia" w:hAnsi="Georgia"/>
          </w:rPr>
          <w:t>"д" пункта 44 настоящего Стандарта</w:t>
        </w:r>
      </w:hyperlink>
      <w:r>
        <w:rPr>
          <w:rFonts w:ascii="Georgia" w:hAnsi="Georgia"/>
        </w:rPr>
        <w:t>, признаются в бухгалтерском учете в</w:t>
      </w:r>
      <w:r>
        <w:rPr>
          <w:rFonts w:ascii="Georgia" w:hAnsi="Georgia"/>
        </w:rPr>
        <w:t xml:space="preserve"> составе доходов текущего отчетного периода в оценке, предусмотренной условиями договоров (контрактов, соглашений)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47. Доходы от собственности, указанные в </w:t>
      </w:r>
      <w:hyperlink r:id="rId33" w:anchor="/document/99/542619320/XA00M7O2N2/" w:tgtFrame="_self" w:history="1">
        <w:r>
          <w:rPr>
            <w:rStyle w:val="a4"/>
            <w:rFonts w:ascii="Georgia" w:hAnsi="Georgia"/>
          </w:rPr>
          <w:t>подпу</w:t>
        </w:r>
        <w:r>
          <w:rPr>
            <w:rStyle w:val="a4"/>
            <w:rFonts w:ascii="Georgia" w:hAnsi="Georgia"/>
          </w:rPr>
          <w:t>нкте "д" пункта 44 настоящего Стандарта</w:t>
        </w:r>
      </w:hyperlink>
      <w:r>
        <w:rPr>
          <w:rFonts w:ascii="Georgia" w:hAnsi="Georgia"/>
        </w:rPr>
        <w:t xml:space="preserve">, признаются в бухгалтерском учете в составе доходов текущего отчетного периода на дату </w:t>
      </w:r>
      <w:r>
        <w:rPr>
          <w:rFonts w:ascii="Georgia" w:hAnsi="Georgia"/>
        </w:rPr>
        <w:lastRenderedPageBreak/>
        <w:t>утверждения решения собственников (учредителей) о распределении указанных доходов в оценке, предусмотренной указанным решением</w:t>
      </w:r>
      <w:r>
        <w:rPr>
          <w:rFonts w:ascii="Georgia" w:hAnsi="Georgia"/>
        </w:rPr>
        <w:t>.</w:t>
      </w:r>
    </w:p>
    <w:p w:rsidR="00000000" w:rsidRDefault="009C239B">
      <w:pPr>
        <w:divId w:val="7844979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оходы от реализаци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48. К доходам от реализации относятся доходы от продажи товаров, готовой продукции, биологической продукции, а также доходы от оказания (выполнения) услуг (работ), в том числе услуг (работ), финансовое обеспечение которых осуществляется</w:t>
      </w:r>
      <w:r>
        <w:rPr>
          <w:rFonts w:ascii="Georgia" w:hAnsi="Georgia"/>
        </w:rPr>
        <w:t xml:space="preserve"> за счет субсидии на выполнение государственного (муниципального) задания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49. Объектом бухгалтерского учета доходов от реализации являются доходы по отдельным видам продукции, услуг (работ), в том числе выполняемых в рамках государственного (муниципальног</w:t>
      </w:r>
      <w:r>
        <w:rPr>
          <w:rFonts w:ascii="Georgia" w:hAnsi="Georgia"/>
        </w:rPr>
        <w:t>о) задания, исходя из экономического содержания обменных операций согласно бюджетной классификации Российской Федерации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50. Признание в бухгалтерском учете доходов от реализации осуществляется субъектами учета, осуществляющими деятельность, связанную с ок</w:t>
      </w:r>
      <w:r>
        <w:rPr>
          <w:rFonts w:ascii="Georgia" w:hAnsi="Georgia"/>
        </w:rPr>
        <w:t>азанием услуг (выполнением работ), продажей товаров, готовой продукции, биологической продукции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51. Доходы от реализации товаров, готовой продукции, биологической продукции признаются в бухгалтерском учете на дату выполнения всех ниже перечисленных услови</w:t>
      </w:r>
      <w:r>
        <w:rPr>
          <w:rFonts w:ascii="Georgia" w:hAnsi="Georgia"/>
        </w:rPr>
        <w:t>й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а) субъект учета передал покупателю существенные риски и выгоды, связанные с владением товаром, готовой продукцией, биологической продукцией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б) субъект учета не сохраняет за собой фактический контроль над товаром, готовой продукцией, биологической прод</w:t>
      </w:r>
      <w:r>
        <w:rPr>
          <w:rFonts w:ascii="Georgia" w:hAnsi="Georgia"/>
        </w:rPr>
        <w:t>укцией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в) возникает право субъекта учета на получение экономических выгод или полезного потенциала, связанных с операцией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г) величина дохода может быть надежно оценена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52. Доходы от реализации товаров, готовой продукции, биологической продукции признают</w:t>
      </w:r>
      <w:r>
        <w:rPr>
          <w:rFonts w:ascii="Georgia" w:hAnsi="Georgia"/>
        </w:rPr>
        <w:t>ся в бухгалтерском учете в сумме, равной величине ожидаемого поступления экономических выгод и полезного потенциала, заключенного в активе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53. Доходы от оказания услуг (выполнения работ) признаются в бухгалтерском учете в составе доходов текущего отчетного периода на дату возникновения права на их получение в сумме, равной величине ожидаемого поступления экономических выгод и (или) полезного </w:t>
      </w:r>
      <w:r>
        <w:rPr>
          <w:rFonts w:ascii="Georgia" w:hAnsi="Georgia"/>
        </w:rPr>
        <w:t>потенциала, заключенного в активе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Доходы будущих периодов от субсидий н</w:t>
      </w:r>
      <w:r>
        <w:rPr>
          <w:rFonts w:ascii="Georgia" w:hAnsi="Georgia"/>
        </w:rPr>
        <w:t>а выполнение государственного (муниципального) задания признаются в бухгалтерском учете в составе доходов от реализации текущего отчетного периода по мере исполнения государственного (муниципального) задания</w:t>
      </w:r>
      <w:r>
        <w:rPr>
          <w:rFonts w:ascii="Georgia" w:hAnsi="Georgia"/>
        </w:rPr>
        <w:t>.</w:t>
      </w:r>
    </w:p>
    <w:p w:rsidR="00000000" w:rsidRDefault="009C239B">
      <w:pPr>
        <w:divId w:val="10168084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Раскрытие информации о доходах в бухгалтерс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кой (финансовой) отчетност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55. В Пояснительной записке к годовой бухгалтерской (финансовой) отчетности раскрывается следующая информация</w:t>
      </w:r>
      <w:r>
        <w:rPr>
          <w:rFonts w:ascii="Georgia" w:hAnsi="Georgia"/>
        </w:rPr>
        <w:t>: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lastRenderedPageBreak/>
        <w:t>а) о положениях учетной политики, устанавливающих особенности признания доходов субъектом учета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б) о доходах в разре</w:t>
      </w:r>
      <w:r>
        <w:rPr>
          <w:rFonts w:ascii="Georgia" w:hAnsi="Georgia"/>
        </w:rPr>
        <w:t>зе групп, подгрупп в зависимости от экономического содержания с обособлением сумм предоставленных льгот (скидок)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в) о доходах от подарков, пожертвований и других безвозмездно полученных ценностей, признанных в текущем отчетном периоде, и характер указанны</w:t>
      </w:r>
      <w:r>
        <w:rPr>
          <w:rFonts w:ascii="Georgia" w:hAnsi="Georgia"/>
        </w:rPr>
        <w:t>х ценностей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г) об основных видах безвозмездно полученных услуг (работ)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д) о суммах дебиторской задолженности, признанной по необменным операциям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е) о суммах изменений доходов будущих периодов по видам доходов</w:t>
      </w:r>
      <w:r>
        <w:rPr>
          <w:rFonts w:ascii="Georgia" w:hAnsi="Georgia"/>
        </w:rPr>
        <w:t>;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ж) о суммах обязательств по авансовым посту</w:t>
      </w:r>
      <w:r>
        <w:rPr>
          <w:rFonts w:ascii="Georgia" w:hAnsi="Georgia"/>
        </w:rPr>
        <w:t>плениям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 xml:space="preserve">56. При раскрытии информации о доходах от реализации товаров, готовой продукции, биологической продукции (работ, услуг) необходимо отдельно раскрыть информацию о доходах по приносящей доход деятельности и о доходах, полученных в форме субсидий на </w:t>
      </w:r>
      <w:r>
        <w:rPr>
          <w:rFonts w:ascii="Georgia" w:hAnsi="Georgia"/>
        </w:rPr>
        <w:t>финансовое обеспечение выполнения государственных (муниципальных) заданий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57. Плановые, прогнозные назначения по доходам субъекта учета отражаются в составе бюджетной информации субъекта учета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t>58. Ретроспективное раскрытие сопоставимой информации при пер</w:t>
      </w:r>
      <w:r>
        <w:rPr>
          <w:rFonts w:ascii="Georgia" w:hAnsi="Georgia"/>
        </w:rPr>
        <w:t>вом применении настоящего Стандарта не требуется</w:t>
      </w:r>
      <w:r>
        <w:rPr>
          <w:rFonts w:ascii="Georgia" w:hAnsi="Georgia"/>
        </w:rPr>
        <w:t>.</w:t>
      </w:r>
    </w:p>
    <w:p w:rsidR="00000000" w:rsidRDefault="009C239B">
      <w:pPr>
        <w:spacing w:after="223"/>
        <w:jc w:val="both"/>
        <w:divId w:val="6542479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bookmarkStart w:id="0" w:name="_GoBack"/>
      <w:bookmarkEnd w:id="0"/>
    </w:p>
    <w:sectPr w:rsidR="00000000" w:rsidSect="008F4A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65A5"/>
    <w:rsid w:val="002165A5"/>
    <w:rsid w:val="008F4A8E"/>
    <w:rsid w:val="009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16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16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4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7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14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5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599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95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8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3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6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9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8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2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79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74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image" Target="https://vip.gosfinansy.ru/system/content/image/25/1/575999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image" Target="https://vip.gosfinansy.ru/system/content/image/25/1/574142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image" Target="https://vip.gosfinansy.ru/system/content/image/25/1/57632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3943</Words>
  <Characters>31127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4</cp:revision>
  <dcterms:created xsi:type="dcterms:W3CDTF">2019-10-25T13:39:00Z</dcterms:created>
  <dcterms:modified xsi:type="dcterms:W3CDTF">2019-10-25T13:39:00Z</dcterms:modified>
</cp:coreProperties>
</file>